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8E9" w:rsidRDefault="001A1541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:rsidR="00D268E9" w:rsidRDefault="001A1541">
      <w:pPr>
        <w:spacing w:after="0" w:line="240" w:lineRule="auto"/>
        <w:ind w:left="-1276" w:right="-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</w:t>
      </w:r>
    </w:p>
    <w:p w:rsidR="00D268E9" w:rsidRDefault="001A1541">
      <w:pPr>
        <w:spacing w:after="0" w:line="240" w:lineRule="auto"/>
        <w:ind w:left="-426" w:hanging="850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5175250</wp:posOffset>
            </wp:positionH>
            <wp:positionV relativeFrom="paragraph">
              <wp:posOffset>104775</wp:posOffset>
            </wp:positionV>
            <wp:extent cx="655320" cy="624840"/>
            <wp:effectExtent l="0" t="0" r="0" b="0"/>
            <wp:wrapTight wrapText="bothSides">
              <wp:wrapPolygon edited="0">
                <wp:start x="7175" y="140"/>
                <wp:lineTo x="7036" y="281"/>
                <wp:lineTo x="6482" y="422"/>
                <wp:lineTo x="6344" y="563"/>
                <wp:lineTo x="6344" y="704"/>
                <wp:lineTo x="5927" y="845"/>
                <wp:lineTo x="5373" y="986"/>
                <wp:lineTo x="5234" y="1127"/>
                <wp:lineTo x="5234" y="1268"/>
                <wp:lineTo x="4956" y="1409"/>
                <wp:lineTo x="4679" y="1550"/>
                <wp:lineTo x="4540" y="1691"/>
                <wp:lineTo x="4124" y="1832"/>
                <wp:lineTo x="4124" y="1972"/>
                <wp:lineTo x="4124" y="2113"/>
                <wp:lineTo x="3847" y="2254"/>
                <wp:lineTo x="3569" y="2395"/>
                <wp:lineTo x="3292" y="2536"/>
                <wp:lineTo x="3292" y="2677"/>
                <wp:lineTo x="3153" y="2818"/>
                <wp:lineTo x="3015" y="2959"/>
                <wp:lineTo x="2737" y="3101"/>
                <wp:lineTo x="2737" y="3242"/>
                <wp:lineTo x="2737" y="3383"/>
                <wp:lineTo x="2737" y="3524"/>
                <wp:lineTo x="2598" y="3665"/>
                <wp:lineTo x="2460" y="3806"/>
                <wp:lineTo x="2182" y="3946"/>
                <wp:lineTo x="2044" y="4087"/>
                <wp:lineTo x="2044" y="4228"/>
                <wp:lineTo x="2044" y="4369"/>
                <wp:lineTo x="2182" y="4510"/>
                <wp:lineTo x="1905" y="4651"/>
                <wp:lineTo x="1766" y="4792"/>
                <wp:lineTo x="1766" y="4933"/>
                <wp:lineTo x="1766" y="5074"/>
                <wp:lineTo x="1627" y="5215"/>
                <wp:lineTo x="1489" y="5356"/>
                <wp:lineTo x="1489" y="5497"/>
                <wp:lineTo x="1489" y="5638"/>
                <wp:lineTo x="1489" y="5779"/>
                <wp:lineTo x="1489" y="5919"/>
                <wp:lineTo x="1350" y="6060"/>
                <wp:lineTo x="1211" y="6202"/>
                <wp:lineTo x="1211" y="6343"/>
                <wp:lineTo x="1073" y="6484"/>
                <wp:lineTo x="1073" y="6625"/>
                <wp:lineTo x="1073" y="6766"/>
                <wp:lineTo x="1073" y="6907"/>
                <wp:lineTo x="934" y="7048"/>
                <wp:lineTo x="934" y="7189"/>
                <wp:lineTo x="934" y="7330"/>
                <wp:lineTo x="1073" y="7471"/>
                <wp:lineTo x="1073" y="7612"/>
                <wp:lineTo x="1073" y="7753"/>
                <wp:lineTo x="1073" y="7893"/>
                <wp:lineTo x="1073" y="8034"/>
                <wp:lineTo x="934" y="8175"/>
                <wp:lineTo x="934" y="8316"/>
                <wp:lineTo x="795" y="8457"/>
                <wp:lineTo x="795" y="8598"/>
                <wp:lineTo x="795" y="8739"/>
                <wp:lineTo x="795" y="8880"/>
                <wp:lineTo x="795" y="9021"/>
                <wp:lineTo x="795" y="9163"/>
                <wp:lineTo x="795" y="9304"/>
                <wp:lineTo x="795" y="9445"/>
                <wp:lineTo x="795" y="9586"/>
                <wp:lineTo x="795" y="9726"/>
                <wp:lineTo x="795" y="9867"/>
                <wp:lineTo x="240" y="10008"/>
                <wp:lineTo x="102" y="10149"/>
                <wp:lineTo x="-176" y="10290"/>
                <wp:lineTo x="-176" y="10431"/>
                <wp:lineTo x="-176" y="10572"/>
                <wp:lineTo x="-176" y="10713"/>
                <wp:lineTo x="-176" y="10854"/>
                <wp:lineTo x="-176" y="10995"/>
                <wp:lineTo x="-176" y="11136"/>
                <wp:lineTo x="-176" y="11277"/>
                <wp:lineTo x="-176" y="11418"/>
                <wp:lineTo x="-176" y="11559"/>
                <wp:lineTo x="-176" y="11699"/>
                <wp:lineTo x="-176" y="11840"/>
                <wp:lineTo x="-176" y="11981"/>
                <wp:lineTo x="-176" y="12122"/>
                <wp:lineTo x="-37" y="12264"/>
                <wp:lineTo x="102" y="12405"/>
                <wp:lineTo x="240" y="12546"/>
                <wp:lineTo x="379" y="12687"/>
                <wp:lineTo x="240" y="12828"/>
                <wp:lineTo x="-37" y="12969"/>
                <wp:lineTo x="-176" y="13110"/>
                <wp:lineTo x="-176" y="13251"/>
                <wp:lineTo x="-176" y="13392"/>
                <wp:lineTo x="-176" y="13533"/>
                <wp:lineTo x="-176" y="13673"/>
                <wp:lineTo x="-176" y="13814"/>
                <wp:lineTo x="-176" y="13955"/>
                <wp:lineTo x="-176" y="14096"/>
                <wp:lineTo x="-176" y="14237"/>
                <wp:lineTo x="-176" y="14378"/>
                <wp:lineTo x="-176" y="14519"/>
                <wp:lineTo x="-176" y="14660"/>
                <wp:lineTo x="-37" y="14801"/>
                <wp:lineTo x="102" y="14942"/>
                <wp:lineTo x="240" y="15083"/>
                <wp:lineTo x="379" y="15225"/>
                <wp:lineTo x="518" y="15366"/>
                <wp:lineTo x="656" y="15506"/>
                <wp:lineTo x="934" y="15647"/>
                <wp:lineTo x="795" y="15788"/>
                <wp:lineTo x="656" y="15929"/>
                <wp:lineTo x="656" y="16070"/>
                <wp:lineTo x="656" y="16211"/>
                <wp:lineTo x="656" y="16352"/>
                <wp:lineTo x="656" y="16493"/>
                <wp:lineTo x="656" y="16634"/>
                <wp:lineTo x="656" y="16775"/>
                <wp:lineTo x="656" y="16916"/>
                <wp:lineTo x="795" y="17057"/>
                <wp:lineTo x="934" y="17198"/>
                <wp:lineTo x="1073" y="17339"/>
                <wp:lineTo x="1211" y="17479"/>
                <wp:lineTo x="1350" y="17620"/>
                <wp:lineTo x="1489" y="17761"/>
                <wp:lineTo x="1766" y="17902"/>
                <wp:lineTo x="2044" y="18043"/>
                <wp:lineTo x="2460" y="18184"/>
                <wp:lineTo x="3431" y="18326"/>
                <wp:lineTo x="3292" y="18467"/>
                <wp:lineTo x="3292" y="18608"/>
                <wp:lineTo x="3292" y="18749"/>
                <wp:lineTo x="3431" y="18890"/>
                <wp:lineTo x="3431" y="19031"/>
                <wp:lineTo x="3569" y="19172"/>
                <wp:lineTo x="3569" y="19313"/>
                <wp:lineTo x="3708" y="19453"/>
                <wp:lineTo x="3847" y="19594"/>
                <wp:lineTo x="4124" y="19735"/>
                <wp:lineTo x="4540" y="19876"/>
                <wp:lineTo x="5373" y="20017"/>
                <wp:lineTo x="5234" y="20158"/>
                <wp:lineTo x="5095" y="20299"/>
                <wp:lineTo x="5234" y="20440"/>
                <wp:lineTo x="5373" y="20581"/>
                <wp:lineTo x="5511" y="20722"/>
                <wp:lineTo x="5650" y="20863"/>
                <wp:lineTo x="15219" y="20863"/>
                <wp:lineTo x="15358" y="20722"/>
                <wp:lineTo x="15496" y="20581"/>
                <wp:lineTo x="15774" y="20440"/>
                <wp:lineTo x="15774" y="20299"/>
                <wp:lineTo x="15774" y="20158"/>
                <wp:lineTo x="15635" y="20017"/>
                <wp:lineTo x="16606" y="19876"/>
                <wp:lineTo x="17022" y="19735"/>
                <wp:lineTo x="17161" y="19594"/>
                <wp:lineTo x="17438" y="19453"/>
                <wp:lineTo x="17438" y="19313"/>
                <wp:lineTo x="17577" y="19172"/>
                <wp:lineTo x="17716" y="19031"/>
                <wp:lineTo x="17716" y="18890"/>
                <wp:lineTo x="17716" y="18749"/>
                <wp:lineTo x="17716" y="18608"/>
                <wp:lineTo x="17716" y="18467"/>
                <wp:lineTo x="17716" y="18326"/>
                <wp:lineTo x="18687" y="18184"/>
                <wp:lineTo x="19103" y="18043"/>
                <wp:lineTo x="19380" y="17902"/>
                <wp:lineTo x="19519" y="17761"/>
                <wp:lineTo x="19796" y="17620"/>
                <wp:lineTo x="19935" y="17479"/>
                <wp:lineTo x="20074" y="17339"/>
                <wp:lineTo x="20212" y="17198"/>
                <wp:lineTo x="20351" y="17057"/>
                <wp:lineTo x="20351" y="16916"/>
                <wp:lineTo x="20490" y="16775"/>
                <wp:lineTo x="20490" y="16634"/>
                <wp:lineTo x="20490" y="16493"/>
                <wp:lineTo x="20490" y="16352"/>
                <wp:lineTo x="20490" y="16211"/>
                <wp:lineTo x="20490" y="16070"/>
                <wp:lineTo x="20351" y="15929"/>
                <wp:lineTo x="20351" y="15788"/>
                <wp:lineTo x="20212" y="15647"/>
                <wp:lineTo x="20351" y="15506"/>
                <wp:lineTo x="20629" y="15366"/>
                <wp:lineTo x="20767" y="15225"/>
                <wp:lineTo x="20906" y="15083"/>
                <wp:lineTo x="21045" y="14942"/>
                <wp:lineTo x="21183" y="14801"/>
                <wp:lineTo x="21322" y="14660"/>
                <wp:lineTo x="21322" y="14519"/>
                <wp:lineTo x="21322" y="14378"/>
                <wp:lineTo x="21322" y="14237"/>
                <wp:lineTo x="21322" y="14096"/>
                <wp:lineTo x="21322" y="13955"/>
                <wp:lineTo x="21322" y="13814"/>
                <wp:lineTo x="21322" y="13673"/>
                <wp:lineTo x="21322" y="13533"/>
                <wp:lineTo x="21322" y="13392"/>
                <wp:lineTo x="21322" y="13251"/>
                <wp:lineTo x="21322" y="13110"/>
                <wp:lineTo x="21183" y="12969"/>
                <wp:lineTo x="20906" y="12828"/>
                <wp:lineTo x="20767" y="12687"/>
                <wp:lineTo x="20906" y="12546"/>
                <wp:lineTo x="21045" y="12405"/>
                <wp:lineTo x="21183" y="12264"/>
                <wp:lineTo x="21183" y="12122"/>
                <wp:lineTo x="21322" y="11981"/>
                <wp:lineTo x="21322" y="11840"/>
                <wp:lineTo x="21322" y="11699"/>
                <wp:lineTo x="21322" y="11559"/>
                <wp:lineTo x="21322" y="11418"/>
                <wp:lineTo x="21322" y="11277"/>
                <wp:lineTo x="21322" y="11136"/>
                <wp:lineTo x="21322" y="10995"/>
                <wp:lineTo x="21322" y="10854"/>
                <wp:lineTo x="21322" y="10713"/>
                <wp:lineTo x="21322" y="10572"/>
                <wp:lineTo x="21322" y="10431"/>
                <wp:lineTo x="21183" y="10290"/>
                <wp:lineTo x="21045" y="10149"/>
                <wp:lineTo x="20767" y="10008"/>
                <wp:lineTo x="20212" y="9867"/>
                <wp:lineTo x="20212" y="9726"/>
                <wp:lineTo x="20351" y="9586"/>
                <wp:lineTo x="20351" y="9445"/>
                <wp:lineTo x="20351" y="9304"/>
                <wp:lineTo x="20351" y="9163"/>
                <wp:lineTo x="20351" y="9021"/>
                <wp:lineTo x="20351" y="8880"/>
                <wp:lineTo x="20351" y="8739"/>
                <wp:lineTo x="20212" y="8598"/>
                <wp:lineTo x="20212" y="8457"/>
                <wp:lineTo x="20212" y="8316"/>
                <wp:lineTo x="20074" y="8175"/>
                <wp:lineTo x="19935" y="8034"/>
                <wp:lineTo x="19935" y="7893"/>
                <wp:lineTo x="19796" y="7753"/>
                <wp:lineTo x="19658" y="7612"/>
                <wp:lineTo x="19658" y="7471"/>
                <wp:lineTo x="19658" y="7330"/>
                <wp:lineTo x="19519" y="7189"/>
                <wp:lineTo x="19658" y="7048"/>
                <wp:lineTo x="19658" y="6907"/>
                <wp:lineTo x="19658" y="6766"/>
                <wp:lineTo x="19519" y="6625"/>
                <wp:lineTo x="19380" y="6484"/>
                <wp:lineTo x="19380" y="6343"/>
                <wp:lineTo x="19380" y="6202"/>
                <wp:lineTo x="19380" y="6060"/>
                <wp:lineTo x="19241" y="5919"/>
                <wp:lineTo x="19241" y="5779"/>
                <wp:lineTo x="19103" y="5638"/>
                <wp:lineTo x="18825" y="5497"/>
                <wp:lineTo x="18964" y="5356"/>
                <wp:lineTo x="18964" y="5215"/>
                <wp:lineTo x="18964" y="5074"/>
                <wp:lineTo x="18825" y="4933"/>
                <wp:lineTo x="18687" y="4792"/>
                <wp:lineTo x="18548" y="4651"/>
                <wp:lineTo x="18548" y="4510"/>
                <wp:lineTo x="18409" y="4369"/>
                <wp:lineTo x="18409" y="4228"/>
                <wp:lineTo x="18548" y="4087"/>
                <wp:lineTo x="18548" y="3946"/>
                <wp:lineTo x="18409" y="3806"/>
                <wp:lineTo x="17993" y="3665"/>
                <wp:lineTo x="17854" y="3524"/>
                <wp:lineTo x="17854" y="3383"/>
                <wp:lineTo x="17716" y="3242"/>
                <wp:lineTo x="17716" y="3101"/>
                <wp:lineTo x="17577" y="2959"/>
                <wp:lineTo x="17577" y="2818"/>
                <wp:lineTo x="17577" y="2677"/>
                <wp:lineTo x="17161" y="2536"/>
                <wp:lineTo x="17022" y="2395"/>
                <wp:lineTo x="16883" y="2254"/>
                <wp:lineTo x="16606" y="2113"/>
                <wp:lineTo x="16190" y="1972"/>
                <wp:lineTo x="16051" y="1832"/>
                <wp:lineTo x="16051" y="1691"/>
                <wp:lineTo x="15774" y="1550"/>
                <wp:lineTo x="15358" y="1409"/>
                <wp:lineTo x="15219" y="1268"/>
                <wp:lineTo x="15080" y="1127"/>
                <wp:lineTo x="15080" y="986"/>
                <wp:lineTo x="14941" y="845"/>
                <wp:lineTo x="14110" y="704"/>
                <wp:lineTo x="13972" y="563"/>
                <wp:lineTo x="13694" y="422"/>
                <wp:lineTo x="13694" y="281"/>
                <wp:lineTo x="13555" y="140"/>
                <wp:lineTo x="7175" y="140"/>
              </wp:wrapPolygon>
            </wp:wrapTight>
            <wp:docPr id="1" name="Рисунок 3" descr="G:\ФОТО ОТДЕЛА\РАЗНОЕ\Значок РСЦ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G:\ФОТО ОТДЕЛА\РАЗНОЕ\Значок РСЦ (1).t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ИНФОРМАЦИОННЫЙ ЛИСТ</w:t>
      </w:r>
    </w:p>
    <w:p w:rsidR="00D268E9" w:rsidRDefault="001A1541">
      <w:pPr>
        <w:spacing w:after="0" w:line="240" w:lineRule="auto"/>
        <w:ind w:left="-426" w:hanging="850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филиала ФГБУ «РОССЕЛЬХОЗЦЕНТР» по Волгоградской области</w:t>
      </w:r>
    </w:p>
    <w:p w:rsidR="00D268E9" w:rsidRDefault="001A1541">
      <w:pPr>
        <w:spacing w:after="0" w:line="240" w:lineRule="auto"/>
        <w:ind w:left="-426" w:hanging="850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№1 от 1</w:t>
      </w:r>
      <w:r w:rsidRPr="001A1541">
        <w:rPr>
          <w:rFonts w:ascii="Times New Roman" w:hAnsi="Times New Roman" w:cs="Times New Roman"/>
          <w:b/>
          <w:color w:val="00B050"/>
          <w:sz w:val="24"/>
          <w:szCs w:val="24"/>
        </w:rPr>
        <w:t>9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марта 2024 г.</w:t>
      </w:r>
    </w:p>
    <w:p w:rsidR="00D268E9" w:rsidRDefault="00D268E9">
      <w:pPr>
        <w:ind w:right="283"/>
        <w:rPr>
          <w:rFonts w:ascii="Times New Roman" w:hAnsi="Times New Roman" w:cs="Times New Roman"/>
        </w:rPr>
      </w:pPr>
    </w:p>
    <w:p w:rsidR="00D268E9" w:rsidRDefault="001A1541">
      <w:pPr>
        <w:spacing w:before="240"/>
        <w:ind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Предпосевная подготовка </w:t>
      </w:r>
      <w:r>
        <w:rPr>
          <w:rFonts w:ascii="Times New Roman" w:hAnsi="Times New Roman" w:cs="Times New Roman"/>
          <w:b/>
          <w:bCs/>
          <w:sz w:val="28"/>
          <w:szCs w:val="28"/>
        </w:rPr>
        <w:t>семян к весеннему севу</w:t>
      </w:r>
    </w:p>
    <w:p w:rsidR="00D268E9" w:rsidRDefault="001A154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сегодняшний день, как никогда актуальна пословица «От плохого семени не жди хорошего племени». Очень важно хорошо подготовить семена к весеннему севу.</w:t>
      </w:r>
    </w:p>
    <w:p w:rsidR="00D268E9" w:rsidRDefault="001A154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Поэтому необходимо провести тщательную очистку и сортировку семенных партий. </w:t>
      </w:r>
      <w:r>
        <w:rPr>
          <w:rFonts w:ascii="Times New Roman" w:hAnsi="Times New Roman" w:cs="Times New Roman"/>
          <w:sz w:val="26"/>
          <w:szCs w:val="26"/>
        </w:rPr>
        <w:t>Семена должны соответствовать требованиям ГОСТ. Проверку семенного материала на посевные качества (всхожесть, чистота, наличие вредителей, болезней). Чем выше масса 1000 зерен, тем лучше будут физиологические и иммунные свойства растений. Качественно подго</w:t>
      </w:r>
      <w:r>
        <w:rPr>
          <w:rFonts w:ascii="Times New Roman" w:hAnsi="Times New Roman" w:cs="Times New Roman"/>
          <w:sz w:val="26"/>
          <w:szCs w:val="26"/>
        </w:rPr>
        <w:t>товленные семена повышают эффективность протравливания.</w:t>
      </w:r>
    </w:p>
    <w:p w:rsidR="00D268E9" w:rsidRDefault="001A154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Протравливание семян является обязательным приемом в технологии возделывания сельскохозяйственных культур, только согласно результатам </w:t>
      </w:r>
      <w:proofErr w:type="spellStart"/>
      <w:r>
        <w:rPr>
          <w:rFonts w:ascii="Times New Roman" w:hAnsi="Times New Roman" w:cs="Times New Roman"/>
          <w:sz w:val="26"/>
          <w:szCs w:val="26"/>
        </w:rPr>
        <w:t>фитоэкспертизы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следует подбирать препараты для предпосевной обраб</w:t>
      </w:r>
      <w:r>
        <w:rPr>
          <w:rFonts w:ascii="Times New Roman" w:hAnsi="Times New Roman" w:cs="Times New Roman"/>
          <w:sz w:val="26"/>
          <w:szCs w:val="26"/>
        </w:rPr>
        <w:t>отки семян.</w:t>
      </w:r>
    </w:p>
    <w:p w:rsidR="00D268E9" w:rsidRDefault="001A1541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Ежегодно специалистами филиала ФГБУ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Россельхозцентр</w:t>
      </w:r>
      <w:proofErr w:type="spellEnd"/>
      <w:r>
        <w:rPr>
          <w:rFonts w:ascii="Times New Roman" w:hAnsi="Times New Roman" w:cs="Times New Roman"/>
          <w:sz w:val="26"/>
          <w:szCs w:val="26"/>
        </w:rPr>
        <w:t>» по Волгоградской области проводится анализ семенного материала на наличие патогенов. По итогам 2023 года было проанализировано 21,721 тыс. тонн семян яровых культур, средний процент заражени</w:t>
      </w:r>
      <w:r>
        <w:rPr>
          <w:rFonts w:ascii="Times New Roman" w:hAnsi="Times New Roman" w:cs="Times New Roman"/>
          <w:sz w:val="26"/>
          <w:szCs w:val="26"/>
        </w:rPr>
        <w:t xml:space="preserve">я 17,3%. Семена озимых культур проанализированы в объеме 64,381 тыс. тонн, средний процент заражения 15%. </w:t>
      </w:r>
    </w:p>
    <w:p w:rsidR="00D268E9" w:rsidRDefault="001A154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Основными патогенами, обнаруженными при анализе семян, являются: фузариоз, гельминтоспориоз,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альтернариоз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бактериоз, антракноз,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аскохитоз</w:t>
      </w:r>
      <w:proofErr w:type="spellEnd"/>
      <w:r>
        <w:rPr>
          <w:rFonts w:ascii="Times New Roman" w:hAnsi="Times New Roman" w:cs="Times New Roman"/>
          <w:sz w:val="26"/>
          <w:szCs w:val="26"/>
        </w:rPr>
        <w:t>, плесени.</w:t>
      </w:r>
    </w:p>
    <w:p w:rsidR="00D268E9" w:rsidRDefault="001A154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Фитоэкспертиза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семян позволяет предвидеть возможную заражённость сельскохозяйственных растений болезнями и тем самым дает шанс сохранить их урожайность и качество собираемой продукции. </w:t>
      </w:r>
      <w:proofErr w:type="spellStart"/>
      <w:r>
        <w:rPr>
          <w:rFonts w:ascii="Times New Roman" w:hAnsi="Times New Roman" w:cs="Times New Roman"/>
          <w:sz w:val="26"/>
          <w:szCs w:val="26"/>
        </w:rPr>
        <w:t>Фунгицидный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протравитель семян должен включать в себя как системные, та</w:t>
      </w:r>
      <w:r>
        <w:rPr>
          <w:rFonts w:ascii="Times New Roman" w:hAnsi="Times New Roman" w:cs="Times New Roman"/>
          <w:sz w:val="26"/>
          <w:szCs w:val="26"/>
        </w:rPr>
        <w:t>к и контактные действующие вещества:</w:t>
      </w:r>
    </w:p>
    <w:p w:rsidR="00D268E9" w:rsidRDefault="001A154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Системные действия препарата обуславливает проникновение в семя и во вновь образующиеся части растения, они нужны для борьбы с </w:t>
      </w:r>
      <w:proofErr w:type="spellStart"/>
      <w:r>
        <w:rPr>
          <w:rFonts w:ascii="Times New Roman" w:hAnsi="Times New Roman" w:cs="Times New Roman"/>
          <w:sz w:val="26"/>
          <w:szCs w:val="26"/>
        </w:rPr>
        <w:t>внутрисеменной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ранней листостебельной инфекцией;</w:t>
      </w:r>
    </w:p>
    <w:p w:rsidR="00D268E9" w:rsidRDefault="001A154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Контактные действия вещества не способны </w:t>
      </w:r>
      <w:r>
        <w:rPr>
          <w:rFonts w:ascii="Times New Roman" w:hAnsi="Times New Roman" w:cs="Times New Roman"/>
          <w:sz w:val="26"/>
          <w:szCs w:val="26"/>
        </w:rPr>
        <w:t>проникать в растение, поэтому их концентрация в около семенной зоне продолжительное время снижается, они призваны дезинфицировать почву от патогенов, это важно для короткого севооборота. Выбранный препарат должен не только контролировать семенную инфекцию,</w:t>
      </w:r>
      <w:r>
        <w:rPr>
          <w:rFonts w:ascii="Times New Roman" w:hAnsi="Times New Roman" w:cs="Times New Roman"/>
          <w:sz w:val="26"/>
          <w:szCs w:val="26"/>
        </w:rPr>
        <w:t xml:space="preserve"> но и на стадии прорастания защитить от почвенной инфекции, продолжительность защитного действия протравителя должна быть максимально длительной. Препараты на основе одного действующего вещества имеют более узкий диапазон активности. </w:t>
      </w:r>
    </w:p>
    <w:p w:rsidR="00D268E9" w:rsidRDefault="001A154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Поэтому при появлении</w:t>
      </w:r>
      <w:r>
        <w:rPr>
          <w:rFonts w:ascii="Times New Roman" w:hAnsi="Times New Roman" w:cs="Times New Roman"/>
          <w:sz w:val="26"/>
          <w:szCs w:val="26"/>
        </w:rPr>
        <w:t xml:space="preserve"> нескольких патогенов необходимо применять многокомпонентные препараты системного действия.</w:t>
      </w:r>
    </w:p>
    <w:p w:rsidR="00D268E9" w:rsidRDefault="001A1541">
      <w:pPr>
        <w:spacing w:before="240"/>
        <w:ind w:right="283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патогены на семенах сельскохозяйственных культур</w:t>
      </w:r>
    </w:p>
    <w:tbl>
      <w:tblPr>
        <w:tblStyle w:val="a9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4535"/>
        <w:gridCol w:w="3119"/>
      </w:tblGrid>
      <w:tr w:rsidR="00D268E9">
        <w:trPr>
          <w:jc w:val="center"/>
        </w:trPr>
        <w:tc>
          <w:tcPr>
            <w:tcW w:w="2689" w:type="dxa"/>
          </w:tcPr>
          <w:p w:rsidR="00D268E9" w:rsidRDefault="001A1541">
            <w:pPr>
              <w:tabs>
                <w:tab w:val="left" w:pos="1942"/>
              </w:tabs>
              <w:ind w:left="-117" w:right="28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Патоген</w:t>
            </w:r>
          </w:p>
        </w:tc>
        <w:tc>
          <w:tcPr>
            <w:tcW w:w="4535" w:type="dxa"/>
          </w:tcPr>
          <w:p w:rsidR="00D268E9" w:rsidRDefault="001A1541">
            <w:pPr>
              <w:tabs>
                <w:tab w:val="left" w:pos="1942"/>
              </w:tabs>
              <w:spacing w:after="0"/>
              <w:ind w:left="-117" w:right="28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Описание</w:t>
            </w:r>
          </w:p>
        </w:tc>
        <w:tc>
          <w:tcPr>
            <w:tcW w:w="3119" w:type="dxa"/>
          </w:tcPr>
          <w:p w:rsidR="00D268E9" w:rsidRDefault="001A1541">
            <w:pPr>
              <w:tabs>
                <w:tab w:val="left" w:pos="1942"/>
              </w:tabs>
              <w:spacing w:after="0"/>
              <w:ind w:left="-117" w:right="28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Действующие вещества</w:t>
            </w:r>
          </w:p>
          <w:p w:rsidR="00D268E9" w:rsidRDefault="001A1541">
            <w:pPr>
              <w:tabs>
                <w:tab w:val="left" w:pos="1942"/>
              </w:tabs>
              <w:spacing w:after="0"/>
              <w:ind w:left="-117" w:right="28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фунгицидов</w:t>
            </w:r>
          </w:p>
        </w:tc>
      </w:tr>
      <w:tr w:rsidR="00D268E9">
        <w:trPr>
          <w:jc w:val="center"/>
        </w:trPr>
        <w:tc>
          <w:tcPr>
            <w:tcW w:w="2689" w:type="dxa"/>
          </w:tcPr>
          <w:p w:rsidR="00D268E9" w:rsidRDefault="001A1541">
            <w:pPr>
              <w:tabs>
                <w:tab w:val="left" w:pos="1942"/>
              </w:tabs>
              <w:spacing w:after="0"/>
              <w:ind w:left="-117" w:right="28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Фузариоз</w:t>
            </w:r>
            <w:r>
              <w:rPr>
                <w:rFonts w:ascii="Symbol" w:eastAsia="Symbol" w:hAnsi="Symbol" w:cs="Symbol"/>
              </w:rPr>
              <w:t></w:t>
            </w:r>
          </w:p>
          <w:p w:rsidR="00D268E9" w:rsidRDefault="00D268E9">
            <w:pPr>
              <w:tabs>
                <w:tab w:val="left" w:pos="1942"/>
              </w:tabs>
              <w:spacing w:after="0"/>
              <w:ind w:left="-117" w:right="283"/>
              <w:jc w:val="center"/>
              <w:rPr>
                <w:rFonts w:ascii="Times New Roman" w:eastAsia="Calibri" w:hAnsi="Times New Roman" w:cs="Times New Roman"/>
              </w:rPr>
            </w:pPr>
          </w:p>
          <w:p w:rsidR="00D268E9" w:rsidRDefault="00D268E9">
            <w:pPr>
              <w:tabs>
                <w:tab w:val="left" w:pos="1942"/>
              </w:tabs>
              <w:spacing w:after="0"/>
              <w:ind w:left="-117" w:right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D268E9" w:rsidRDefault="001A1541">
            <w:pPr>
              <w:tabs>
                <w:tab w:val="left" w:pos="1942"/>
              </w:tabs>
              <w:spacing w:after="0"/>
              <w:ind w:right="283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Вызывает значительные потери и ухудшение качества собранного урожая. Поражение фузариозом приводит к снижению энергии прорастания и всхожести семян. Прямые потери урожая могут составить до 20%. 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Основной вред заключается в накоплении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микотоксинов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которые </w:t>
            </w:r>
            <w:r>
              <w:rPr>
                <w:rFonts w:ascii="Times New Roman" w:eastAsia="Calibri" w:hAnsi="Times New Roman" w:cs="Times New Roman"/>
              </w:rPr>
              <w:t xml:space="preserve">делают зерно непригодным для использования в пищу человеком и на корм животным. </w:t>
            </w:r>
          </w:p>
        </w:tc>
        <w:tc>
          <w:tcPr>
            <w:tcW w:w="3119" w:type="dxa"/>
          </w:tcPr>
          <w:p w:rsidR="00D268E9" w:rsidRDefault="00D268E9">
            <w:pPr>
              <w:tabs>
                <w:tab w:val="left" w:pos="1942"/>
              </w:tabs>
              <w:spacing w:after="0"/>
              <w:ind w:left="31" w:right="283"/>
              <w:jc w:val="center"/>
              <w:rPr>
                <w:rFonts w:ascii="Times New Roman" w:hAnsi="Times New Roman" w:cs="Times New Roman"/>
              </w:rPr>
            </w:pPr>
          </w:p>
          <w:p w:rsidR="00D268E9" w:rsidRDefault="001A1541">
            <w:pPr>
              <w:tabs>
                <w:tab w:val="left" w:pos="1942"/>
              </w:tabs>
              <w:spacing w:after="0"/>
              <w:ind w:left="31" w:right="28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Протиоконазол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прохлораз</w:t>
            </w:r>
            <w:proofErr w:type="spellEnd"/>
            <w:r>
              <w:rPr>
                <w:rFonts w:ascii="Times New Roman" w:eastAsia="Calibri" w:hAnsi="Times New Roman" w:cs="Times New Roman"/>
              </w:rPr>
              <w:t>,</w:t>
            </w:r>
          </w:p>
          <w:p w:rsidR="00D268E9" w:rsidRDefault="001A1541">
            <w:pPr>
              <w:tabs>
                <w:tab w:val="left" w:pos="1942"/>
              </w:tabs>
              <w:spacing w:after="0"/>
              <w:ind w:left="31" w:right="28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флудиоксонил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др.</w:t>
            </w:r>
          </w:p>
        </w:tc>
      </w:tr>
      <w:tr w:rsidR="00D268E9">
        <w:trPr>
          <w:trHeight w:val="1526"/>
          <w:jc w:val="center"/>
        </w:trPr>
        <w:tc>
          <w:tcPr>
            <w:tcW w:w="2689" w:type="dxa"/>
          </w:tcPr>
          <w:p w:rsidR="00D268E9" w:rsidRDefault="001A1541">
            <w:pPr>
              <w:tabs>
                <w:tab w:val="left" w:pos="1942"/>
              </w:tabs>
              <w:spacing w:after="0"/>
              <w:ind w:left="29" w:right="28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Гельминтоспориоз</w:t>
            </w:r>
            <w:r>
              <w:rPr>
                <w:rFonts w:ascii="Symbol" w:eastAsia="Symbol" w:hAnsi="Symbol" w:cs="Symbol"/>
              </w:rPr>
              <w:t></w:t>
            </w:r>
          </w:p>
          <w:p w:rsidR="00D268E9" w:rsidRDefault="00D268E9">
            <w:pPr>
              <w:tabs>
                <w:tab w:val="left" w:pos="1942"/>
              </w:tabs>
              <w:spacing w:after="0"/>
              <w:ind w:left="29" w:right="283"/>
              <w:jc w:val="center"/>
              <w:rPr>
                <w:rFonts w:ascii="Times New Roman" w:eastAsia="Calibri" w:hAnsi="Times New Roman" w:cs="Times New Roman"/>
              </w:rPr>
            </w:pPr>
          </w:p>
          <w:p w:rsidR="00D268E9" w:rsidRDefault="00D268E9">
            <w:pPr>
              <w:tabs>
                <w:tab w:val="left" w:pos="1942"/>
              </w:tabs>
              <w:spacing w:after="0"/>
              <w:ind w:left="29" w:right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D268E9" w:rsidRDefault="001A1541">
            <w:pPr>
              <w:tabs>
                <w:tab w:val="left" w:pos="1942"/>
              </w:tabs>
              <w:spacing w:after="0"/>
              <w:ind w:right="283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Поражает корневую систему стадии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ee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формирования, узел кущения, что ведет к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изреживанию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посевов и на 40% уменьшает формирование продуктивных стеблей. </w:t>
            </w:r>
          </w:p>
        </w:tc>
        <w:tc>
          <w:tcPr>
            <w:tcW w:w="3119" w:type="dxa"/>
          </w:tcPr>
          <w:p w:rsidR="00D268E9" w:rsidRDefault="00D268E9">
            <w:pPr>
              <w:tabs>
                <w:tab w:val="left" w:pos="1942"/>
              </w:tabs>
              <w:spacing w:after="0"/>
              <w:ind w:left="31" w:right="283"/>
              <w:jc w:val="center"/>
              <w:rPr>
                <w:rFonts w:ascii="Times New Roman" w:hAnsi="Times New Roman" w:cs="Times New Roman"/>
              </w:rPr>
            </w:pPr>
          </w:p>
          <w:p w:rsidR="00D268E9" w:rsidRDefault="001A1541">
            <w:pPr>
              <w:tabs>
                <w:tab w:val="left" w:pos="1942"/>
              </w:tabs>
              <w:spacing w:after="0"/>
              <w:ind w:left="31" w:right="28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Прохлораз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флудиоксонил</w:t>
            </w:r>
            <w:proofErr w:type="spellEnd"/>
            <w:r>
              <w:rPr>
                <w:rFonts w:ascii="Times New Roman" w:eastAsia="Calibri" w:hAnsi="Times New Roman" w:cs="Times New Roman"/>
              </w:rPr>
              <w:t>,</w:t>
            </w:r>
          </w:p>
          <w:p w:rsidR="00D268E9" w:rsidRDefault="001A1541">
            <w:pPr>
              <w:tabs>
                <w:tab w:val="left" w:pos="1942"/>
              </w:tabs>
              <w:spacing w:after="0"/>
              <w:ind w:left="31" w:right="28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дифеноконазол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др.</w:t>
            </w:r>
          </w:p>
        </w:tc>
      </w:tr>
      <w:tr w:rsidR="00D268E9">
        <w:trPr>
          <w:trHeight w:val="2483"/>
          <w:jc w:val="center"/>
        </w:trPr>
        <w:tc>
          <w:tcPr>
            <w:tcW w:w="2689" w:type="dxa"/>
          </w:tcPr>
          <w:p w:rsidR="00D268E9" w:rsidRDefault="001A1541">
            <w:pPr>
              <w:tabs>
                <w:tab w:val="left" w:pos="1942"/>
              </w:tabs>
              <w:spacing w:after="0"/>
              <w:ind w:left="-117" w:right="283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Альтернариоз</w:t>
            </w:r>
            <w:proofErr w:type="spellEnd"/>
          </w:p>
          <w:p w:rsidR="00D268E9" w:rsidRDefault="00D268E9">
            <w:pPr>
              <w:tabs>
                <w:tab w:val="left" w:pos="1942"/>
              </w:tabs>
              <w:spacing w:after="0"/>
              <w:ind w:left="-117" w:right="283"/>
              <w:jc w:val="center"/>
              <w:rPr>
                <w:rFonts w:ascii="Times New Roman" w:eastAsia="Calibri" w:hAnsi="Times New Roman" w:cs="Times New Roman"/>
              </w:rPr>
            </w:pPr>
          </w:p>
          <w:p w:rsidR="00D268E9" w:rsidRDefault="00D268E9">
            <w:pPr>
              <w:tabs>
                <w:tab w:val="left" w:pos="1942"/>
              </w:tabs>
              <w:spacing w:after="0"/>
              <w:ind w:left="-117" w:right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D268E9" w:rsidRDefault="001A1541">
            <w:pPr>
              <w:tabs>
                <w:tab w:val="left" w:pos="1942"/>
              </w:tabs>
              <w:spacing w:after="0"/>
              <w:ind w:right="283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Поражает зерновые культуры повсеместно. </w:t>
            </w:r>
            <w:r>
              <w:rPr>
                <w:rFonts w:ascii="Times New Roman" w:eastAsia="Calibri" w:hAnsi="Times New Roman" w:cs="Times New Roman"/>
              </w:rPr>
              <w:t xml:space="preserve">Грибы заселяют семена во время развития растения в поле до уборки. Заражение происходит в период цветения, молочной и молочно-восковой спелости. При поражении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альтернариозом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снижается энергия прорастания и всхожесть семян, а также выход товарного зерна</w:t>
            </w:r>
          </w:p>
        </w:tc>
        <w:tc>
          <w:tcPr>
            <w:tcW w:w="3119" w:type="dxa"/>
          </w:tcPr>
          <w:p w:rsidR="00D268E9" w:rsidRDefault="00D268E9">
            <w:pPr>
              <w:tabs>
                <w:tab w:val="left" w:pos="1942"/>
              </w:tabs>
              <w:spacing w:after="0"/>
              <w:ind w:left="31" w:right="283"/>
              <w:jc w:val="center"/>
              <w:rPr>
                <w:rFonts w:ascii="Times New Roman" w:hAnsi="Times New Roman" w:cs="Times New Roman"/>
              </w:rPr>
            </w:pPr>
          </w:p>
          <w:p w:rsidR="00D268E9" w:rsidRDefault="001A1541">
            <w:pPr>
              <w:tabs>
                <w:tab w:val="left" w:pos="1942"/>
              </w:tabs>
              <w:spacing w:after="0"/>
              <w:ind w:left="31" w:right="28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Ди</w:t>
            </w:r>
            <w:r>
              <w:rPr>
                <w:rFonts w:ascii="Times New Roman" w:eastAsia="Calibri" w:hAnsi="Times New Roman" w:cs="Times New Roman"/>
              </w:rPr>
              <w:t>феноконазол</w:t>
            </w:r>
            <w:proofErr w:type="spellEnd"/>
            <w:r>
              <w:rPr>
                <w:rFonts w:ascii="Times New Roman" w:eastAsia="Calibri" w:hAnsi="Times New Roman" w:cs="Times New Roman"/>
              </w:rPr>
              <w:t>,</w:t>
            </w:r>
          </w:p>
          <w:p w:rsidR="00D268E9" w:rsidRDefault="001A1541">
            <w:pPr>
              <w:tabs>
                <w:tab w:val="left" w:pos="1942"/>
              </w:tabs>
              <w:spacing w:after="0"/>
              <w:ind w:left="31" w:right="28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ципроконазол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флутриафол</w:t>
            </w:r>
            <w:proofErr w:type="spellEnd"/>
          </w:p>
          <w:p w:rsidR="00D268E9" w:rsidRDefault="001A1541">
            <w:pPr>
              <w:tabs>
                <w:tab w:val="left" w:pos="1942"/>
              </w:tabs>
              <w:spacing w:after="0"/>
              <w:ind w:left="31" w:right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 др.</w:t>
            </w:r>
          </w:p>
        </w:tc>
      </w:tr>
      <w:tr w:rsidR="00D268E9">
        <w:trPr>
          <w:trHeight w:val="1992"/>
          <w:jc w:val="center"/>
        </w:trPr>
        <w:tc>
          <w:tcPr>
            <w:tcW w:w="2689" w:type="dxa"/>
          </w:tcPr>
          <w:p w:rsidR="00D268E9" w:rsidRDefault="001A1541">
            <w:pPr>
              <w:tabs>
                <w:tab w:val="left" w:pos="1942"/>
              </w:tabs>
              <w:spacing w:after="0"/>
              <w:ind w:left="-117" w:right="28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Бактериоз</w:t>
            </w:r>
          </w:p>
          <w:p w:rsidR="00D268E9" w:rsidRDefault="00D268E9">
            <w:pPr>
              <w:tabs>
                <w:tab w:val="left" w:pos="1942"/>
              </w:tabs>
              <w:spacing w:after="0"/>
              <w:ind w:left="-117" w:right="283"/>
              <w:jc w:val="center"/>
              <w:rPr>
                <w:rFonts w:ascii="Times New Roman" w:eastAsia="Calibri" w:hAnsi="Times New Roman" w:cs="Times New Roman"/>
              </w:rPr>
            </w:pPr>
          </w:p>
          <w:p w:rsidR="00D268E9" w:rsidRDefault="00D268E9">
            <w:pPr>
              <w:tabs>
                <w:tab w:val="left" w:pos="1942"/>
              </w:tabs>
              <w:spacing w:after="0"/>
              <w:ind w:left="-117" w:right="28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5" w:type="dxa"/>
          </w:tcPr>
          <w:p w:rsidR="00D268E9" w:rsidRDefault="001A1541">
            <w:pPr>
              <w:tabs>
                <w:tab w:val="left" w:pos="1942"/>
              </w:tabs>
              <w:spacing w:after="0"/>
              <w:ind w:right="283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Вызывает загнивание семян в почве, особенно при влажной погоде. Недобор урожая от бактериозов может достигать 20% и более. Бактерии могут быть на поверхности семян и в растительных остатках</w:t>
            </w:r>
          </w:p>
        </w:tc>
        <w:tc>
          <w:tcPr>
            <w:tcW w:w="3119" w:type="dxa"/>
          </w:tcPr>
          <w:p w:rsidR="00D268E9" w:rsidRDefault="001A1541">
            <w:pPr>
              <w:tabs>
                <w:tab w:val="left" w:pos="1942"/>
              </w:tabs>
              <w:spacing w:after="0"/>
              <w:ind w:left="-117" w:right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Тирам,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ba</w:t>
            </w:r>
            <w:r>
              <w:rPr>
                <w:rFonts w:ascii="Times New Roman" w:eastAsia="Calibri" w:hAnsi="Times New Roman" w:cs="Times New Roman"/>
              </w:rPr>
              <w:t>cillus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subtilis</w:t>
            </w:r>
            <w:proofErr w:type="spellEnd"/>
          </w:p>
        </w:tc>
      </w:tr>
      <w:tr w:rsidR="00D268E9">
        <w:trPr>
          <w:trHeight w:val="1223"/>
          <w:jc w:val="center"/>
        </w:trPr>
        <w:tc>
          <w:tcPr>
            <w:tcW w:w="2689" w:type="dxa"/>
          </w:tcPr>
          <w:p w:rsidR="00D268E9" w:rsidRDefault="001A1541">
            <w:pPr>
              <w:tabs>
                <w:tab w:val="left" w:pos="1942"/>
              </w:tabs>
              <w:spacing w:after="0"/>
              <w:ind w:left="-117" w:right="28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Антракноз</w:t>
            </w:r>
          </w:p>
          <w:p w:rsidR="00D268E9" w:rsidRDefault="00D268E9">
            <w:pPr>
              <w:tabs>
                <w:tab w:val="left" w:pos="1942"/>
              </w:tabs>
              <w:spacing w:after="0"/>
              <w:ind w:left="-117" w:right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D268E9" w:rsidRDefault="001A1541">
            <w:pPr>
              <w:tabs>
                <w:tab w:val="left" w:pos="1942"/>
              </w:tabs>
              <w:spacing w:after="0"/>
              <w:ind w:right="283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Вызывает повреждение корешков проростков, отставание в росте. Потери урожая до 30%</w:t>
            </w:r>
          </w:p>
        </w:tc>
        <w:tc>
          <w:tcPr>
            <w:tcW w:w="3119" w:type="dxa"/>
          </w:tcPr>
          <w:p w:rsidR="00D268E9" w:rsidRDefault="001A1541">
            <w:pPr>
              <w:tabs>
                <w:tab w:val="left" w:pos="1942"/>
              </w:tabs>
              <w:spacing w:after="0"/>
              <w:ind w:left="-117" w:right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Тирам,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тебуконазол</w:t>
            </w:r>
            <w:proofErr w:type="spellEnd"/>
            <w:r>
              <w:rPr>
                <w:rFonts w:ascii="Times New Roman" w:eastAsia="Calibri" w:hAnsi="Times New Roman" w:cs="Times New Roman"/>
              </w:rPr>
              <w:t>,</w:t>
            </w:r>
          </w:p>
          <w:p w:rsidR="00D268E9" w:rsidRDefault="001A1541">
            <w:pPr>
              <w:tabs>
                <w:tab w:val="left" w:pos="1942"/>
              </w:tabs>
              <w:spacing w:after="0"/>
              <w:ind w:left="-117" w:right="28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флутриафол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др.</w:t>
            </w:r>
          </w:p>
        </w:tc>
      </w:tr>
      <w:tr w:rsidR="00D268E9">
        <w:trPr>
          <w:trHeight w:val="2186"/>
          <w:jc w:val="center"/>
        </w:trPr>
        <w:tc>
          <w:tcPr>
            <w:tcW w:w="2689" w:type="dxa"/>
          </w:tcPr>
          <w:p w:rsidR="00D268E9" w:rsidRDefault="001A1541">
            <w:pPr>
              <w:tabs>
                <w:tab w:val="left" w:pos="1942"/>
              </w:tabs>
              <w:spacing w:after="0"/>
              <w:ind w:left="-117" w:right="283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Аскохитоз</w:t>
            </w:r>
            <w:proofErr w:type="spellEnd"/>
          </w:p>
          <w:p w:rsidR="00D268E9" w:rsidRDefault="00D268E9">
            <w:pPr>
              <w:tabs>
                <w:tab w:val="left" w:pos="1942"/>
              </w:tabs>
              <w:spacing w:after="0"/>
              <w:ind w:left="-117" w:right="283"/>
              <w:jc w:val="center"/>
              <w:rPr>
                <w:rFonts w:ascii="Times New Roman" w:eastAsia="Calibri" w:hAnsi="Times New Roman" w:cs="Times New Roman"/>
              </w:rPr>
            </w:pPr>
          </w:p>
          <w:p w:rsidR="00D268E9" w:rsidRDefault="00D268E9">
            <w:pPr>
              <w:tabs>
                <w:tab w:val="left" w:pos="1942"/>
              </w:tabs>
              <w:spacing w:after="0"/>
              <w:ind w:left="-117" w:right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D268E9" w:rsidRDefault="001A1541">
            <w:pPr>
              <w:tabs>
                <w:tab w:val="left" w:pos="1942"/>
              </w:tabs>
              <w:spacing w:after="0"/>
              <w:ind w:right="283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Задерживает развитие и рост растений. Листья преждевременно усыхают и опадают. Семена в бобах </w:t>
            </w:r>
            <w:r>
              <w:rPr>
                <w:rFonts w:ascii="Times New Roman" w:eastAsia="Calibri" w:hAnsi="Times New Roman" w:cs="Times New Roman"/>
              </w:rPr>
              <w:t>созревают неравномерно, оставаясь щуплыми.</w:t>
            </w:r>
          </w:p>
          <w:p w:rsidR="00D268E9" w:rsidRDefault="001A1541">
            <w:pPr>
              <w:tabs>
                <w:tab w:val="left" w:pos="1942"/>
              </w:tabs>
              <w:spacing w:after="0"/>
              <w:ind w:right="283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Полученные семена не имеет достаточной энергии прорастания и отличается низкой всхожестью. Потери урожая до 50%</w:t>
            </w:r>
          </w:p>
        </w:tc>
        <w:tc>
          <w:tcPr>
            <w:tcW w:w="3119" w:type="dxa"/>
          </w:tcPr>
          <w:p w:rsidR="00D268E9" w:rsidRDefault="00D268E9">
            <w:pPr>
              <w:tabs>
                <w:tab w:val="left" w:pos="1942"/>
              </w:tabs>
              <w:spacing w:after="0"/>
              <w:ind w:left="-117" w:right="283"/>
              <w:jc w:val="center"/>
              <w:rPr>
                <w:rFonts w:ascii="Times New Roman" w:hAnsi="Times New Roman" w:cs="Times New Roman"/>
              </w:rPr>
            </w:pPr>
          </w:p>
          <w:p w:rsidR="00D268E9" w:rsidRDefault="001A1541">
            <w:pPr>
              <w:tabs>
                <w:tab w:val="left" w:pos="1942"/>
              </w:tabs>
              <w:spacing w:after="0"/>
              <w:ind w:left="-117" w:right="28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Тебуконазол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имазалил</w:t>
            </w:r>
            <w:proofErr w:type="spellEnd"/>
            <w:r>
              <w:rPr>
                <w:rFonts w:ascii="Times New Roman" w:eastAsia="Calibri" w:hAnsi="Times New Roman" w:cs="Times New Roman"/>
              </w:rPr>
              <w:t>,</w:t>
            </w:r>
          </w:p>
          <w:p w:rsidR="00D268E9" w:rsidRDefault="001A1541">
            <w:pPr>
              <w:tabs>
                <w:tab w:val="left" w:pos="1942"/>
              </w:tabs>
              <w:spacing w:after="0"/>
              <w:ind w:left="-117" w:right="28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флудиоксанил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др.</w:t>
            </w:r>
          </w:p>
        </w:tc>
      </w:tr>
      <w:tr w:rsidR="00D268E9">
        <w:trPr>
          <w:trHeight w:val="856"/>
          <w:jc w:val="center"/>
        </w:trPr>
        <w:tc>
          <w:tcPr>
            <w:tcW w:w="2689" w:type="dxa"/>
          </w:tcPr>
          <w:p w:rsidR="00D268E9" w:rsidRDefault="001A1541">
            <w:pPr>
              <w:tabs>
                <w:tab w:val="left" w:pos="1942"/>
              </w:tabs>
              <w:spacing w:after="0"/>
              <w:ind w:left="-117" w:right="283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Плесневение</w:t>
            </w:r>
            <w:proofErr w:type="spellEnd"/>
          </w:p>
          <w:p w:rsidR="00D268E9" w:rsidRDefault="00D268E9">
            <w:pPr>
              <w:tabs>
                <w:tab w:val="left" w:pos="1942"/>
              </w:tabs>
              <w:spacing w:after="0"/>
              <w:ind w:left="-117" w:right="283"/>
              <w:jc w:val="center"/>
              <w:rPr>
                <w:rFonts w:ascii="Times New Roman" w:eastAsia="Calibri" w:hAnsi="Times New Roman" w:cs="Times New Roman"/>
              </w:rPr>
            </w:pPr>
          </w:p>
          <w:p w:rsidR="00D268E9" w:rsidRDefault="00D268E9">
            <w:pPr>
              <w:tabs>
                <w:tab w:val="left" w:pos="1942"/>
              </w:tabs>
              <w:spacing w:after="0"/>
              <w:ind w:left="-117" w:right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</w:tcPr>
          <w:p w:rsidR="00D268E9" w:rsidRDefault="001A1541">
            <w:pPr>
              <w:tabs>
                <w:tab w:val="left" w:pos="1942"/>
              </w:tabs>
              <w:spacing w:after="0"/>
              <w:ind w:right="283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Поверхностные патогены, и их активность в </w:t>
            </w:r>
            <w:r>
              <w:rPr>
                <w:rFonts w:ascii="Times New Roman" w:eastAsia="Calibri" w:hAnsi="Times New Roman" w:cs="Times New Roman"/>
              </w:rPr>
              <w:t>большей степени проявляется при долгом прорастании зерновки</w:t>
            </w:r>
          </w:p>
        </w:tc>
        <w:tc>
          <w:tcPr>
            <w:tcW w:w="3119" w:type="dxa"/>
          </w:tcPr>
          <w:p w:rsidR="00D268E9" w:rsidRDefault="001A1541">
            <w:pPr>
              <w:tabs>
                <w:tab w:val="left" w:pos="1942"/>
              </w:tabs>
              <w:spacing w:after="0"/>
              <w:ind w:right="28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Прохлораз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дифеноконазол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pseudomonas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др.</w:t>
            </w:r>
          </w:p>
        </w:tc>
      </w:tr>
    </w:tbl>
    <w:p w:rsidR="00D268E9" w:rsidRDefault="001A1541">
      <w:pPr>
        <w:ind w:right="283"/>
        <w:rPr>
          <w:sz w:val="26"/>
          <w:szCs w:val="26"/>
        </w:rPr>
      </w:pPr>
      <w:r>
        <w:rPr>
          <w:rFonts w:ascii="Symbol" w:eastAsia="Symbol" w:hAnsi="Symbol" w:cs="Symbol"/>
        </w:rPr>
        <w:t></w:t>
      </w:r>
      <w:r>
        <w:rPr>
          <w:rFonts w:ascii="Times New Roman" w:eastAsia="Calibri" w:hAnsi="Times New Roman" w:cs="Times New Roman"/>
        </w:rPr>
        <w:t xml:space="preserve"> Фузариоз и Гельминтоспориоз -основные возбудители корневых </w:t>
      </w:r>
      <w:proofErr w:type="spellStart"/>
      <w:r>
        <w:rPr>
          <w:rFonts w:ascii="Times New Roman" w:eastAsia="Calibri" w:hAnsi="Times New Roman" w:cs="Times New Roman"/>
        </w:rPr>
        <w:t>гнилей</w:t>
      </w:r>
      <w:proofErr w:type="spellEnd"/>
      <w:r>
        <w:rPr>
          <w:rFonts w:ascii="Times New Roman" w:eastAsia="Calibri" w:hAnsi="Times New Roman" w:cs="Times New Roman"/>
        </w:rPr>
        <w:t>.</w:t>
      </w:r>
    </w:p>
    <w:p w:rsidR="00D268E9" w:rsidRDefault="00D268E9">
      <w:pPr>
        <w:ind w:right="283"/>
        <w:rPr>
          <w:sz w:val="26"/>
          <w:szCs w:val="26"/>
        </w:rPr>
      </w:pPr>
    </w:p>
    <w:p w:rsidR="00D268E9" w:rsidRDefault="001A154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Отдельно стоит отметить пыльную и твердую головню. Пыльная головня относится к внутри семенной инфекции. Возбудитель сохраняется в форме мицелия внутри зерновки в зародыше, заражая ее в период цветения. В течение вегетационного сезона инфекция распространя</w:t>
      </w:r>
      <w:r>
        <w:rPr>
          <w:rFonts w:ascii="Times New Roman" w:hAnsi="Times New Roman" w:cs="Times New Roman"/>
          <w:sz w:val="26"/>
          <w:szCs w:val="26"/>
        </w:rPr>
        <w:t xml:space="preserve">ется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телеоспорами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 больных растений к здоровым воздушным путем. В фазу колошения у пшеницы все части колосков - завязи, чешуйки, ости - разрушаются и превращаются в пылящую массу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телеоспор</w:t>
      </w:r>
      <w:proofErr w:type="spellEnd"/>
      <w:r>
        <w:rPr>
          <w:rFonts w:ascii="Times New Roman" w:hAnsi="Times New Roman" w:cs="Times New Roman"/>
          <w:sz w:val="26"/>
          <w:szCs w:val="26"/>
        </w:rPr>
        <w:t>. Неразрушенным остается только стержень.</w:t>
      </w:r>
    </w:p>
    <w:p w:rsidR="00D268E9" w:rsidRDefault="001A154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Возбудитель пыльной голо</w:t>
      </w:r>
      <w:r>
        <w:rPr>
          <w:rFonts w:ascii="Times New Roman" w:hAnsi="Times New Roman" w:cs="Times New Roman"/>
          <w:sz w:val="26"/>
          <w:szCs w:val="26"/>
        </w:rPr>
        <w:t>вни развивается в течение двух вегетационных периодов, в первый год происходит заражение в период цветения, на второй год развивается в период колошения. Симптомы поражения твердой головней обнаруживаются только к периоду молочно-восковой спелости зерна. У</w:t>
      </w:r>
      <w:r>
        <w:rPr>
          <w:rFonts w:ascii="Times New Roman" w:hAnsi="Times New Roman" w:cs="Times New Roman"/>
          <w:sz w:val="26"/>
          <w:szCs w:val="26"/>
        </w:rPr>
        <w:t xml:space="preserve"> пораженных колосьев колосковые чешуйки раздвинуты, вместо зерна образуются головневые мешочки (сорусы) с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телиоспорами</w:t>
      </w:r>
      <w:proofErr w:type="spellEnd"/>
      <w:r>
        <w:rPr>
          <w:rFonts w:ascii="Times New Roman" w:hAnsi="Times New Roman" w:cs="Times New Roman"/>
          <w:sz w:val="26"/>
          <w:szCs w:val="26"/>
        </w:rPr>
        <w:t>. Головнёвые мешочки можно обнаружить в семенном материале визуально.</w:t>
      </w:r>
    </w:p>
    <w:p w:rsidR="00D268E9" w:rsidRDefault="001A154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профилактики и борьбы с головневыми заболеваниями следует перед </w:t>
      </w:r>
      <w:r>
        <w:rPr>
          <w:rFonts w:ascii="Times New Roman" w:hAnsi="Times New Roman" w:cs="Times New Roman"/>
          <w:sz w:val="26"/>
          <w:szCs w:val="26"/>
        </w:rPr>
        <w:t xml:space="preserve">посевом обрабатывать семена протравителями на основе </w:t>
      </w:r>
      <w:proofErr w:type="spellStart"/>
      <w:r>
        <w:rPr>
          <w:rFonts w:ascii="Times New Roman" w:hAnsi="Times New Roman" w:cs="Times New Roman"/>
          <w:sz w:val="26"/>
          <w:szCs w:val="26"/>
        </w:rPr>
        <w:t>д.в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тебуконазол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тритиконазол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протиоконазол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флутриафол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др. Следует помнить о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ретардантном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эффекте у препаратов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азольного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ряда и корректировать глубину заделки семян.</w:t>
      </w:r>
    </w:p>
    <w:p w:rsidR="00D268E9" w:rsidRDefault="001A1541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Обработки проводить разрешенными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к применению препаратами на территории РФ в 2024 году, согласно Государственному каталогу пестицидов и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агрохимикатов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!</w:t>
      </w:r>
    </w:p>
    <w:p w:rsidR="00D268E9" w:rsidRDefault="001A154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испытательных лабораториях филиала проводятся исследования партий семян на посевные качества и </w:t>
      </w:r>
      <w:proofErr w:type="spellStart"/>
      <w:r>
        <w:rPr>
          <w:rFonts w:ascii="Times New Roman" w:hAnsi="Times New Roman" w:cs="Times New Roman"/>
          <w:sz w:val="26"/>
          <w:szCs w:val="26"/>
        </w:rPr>
        <w:t>фитоэкспертизу</w:t>
      </w:r>
      <w:proofErr w:type="spellEnd"/>
      <w:r>
        <w:rPr>
          <w:rFonts w:ascii="Times New Roman" w:hAnsi="Times New Roman" w:cs="Times New Roman"/>
          <w:sz w:val="26"/>
          <w:szCs w:val="26"/>
        </w:rPr>
        <w:t>. По всем интересующим воп</w:t>
      </w:r>
      <w:r>
        <w:rPr>
          <w:rFonts w:ascii="Times New Roman" w:hAnsi="Times New Roman" w:cs="Times New Roman"/>
          <w:sz w:val="26"/>
          <w:szCs w:val="26"/>
        </w:rPr>
        <w:t xml:space="preserve">росам обращаться в районные отделы филиала или в отдел по семеноводству.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Тел.: 8(8442) 97-77-21 (д. 702). </w:t>
      </w:r>
      <w:r>
        <w:rPr>
          <w:rFonts w:ascii="Times New Roman" w:hAnsi="Times New Roman" w:cs="Times New Roman"/>
          <w:sz w:val="26"/>
          <w:szCs w:val="26"/>
        </w:rPr>
        <w:t xml:space="preserve">Отдел Защиты растений. </w:t>
      </w:r>
      <w:r>
        <w:rPr>
          <w:rFonts w:ascii="Times New Roman" w:hAnsi="Times New Roman" w:cs="Times New Roman"/>
          <w:b/>
          <w:bCs/>
          <w:sz w:val="26"/>
          <w:szCs w:val="26"/>
        </w:rPr>
        <w:t>Тел.: 8-995-428-20-29.</w:t>
      </w:r>
    </w:p>
    <w:sectPr w:rsidR="00D268E9">
      <w:pgSz w:w="11906" w:h="16838"/>
      <w:pgMar w:top="426" w:right="851" w:bottom="851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E9"/>
    <w:rsid w:val="001A1541"/>
    <w:rsid w:val="00D2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F6763-E133-45AC-A724-119E027C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F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styleId="a9">
    <w:name w:val="Table Grid"/>
    <w:basedOn w:val="a1"/>
    <w:uiPriority w:val="39"/>
    <w:rsid w:val="00802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MescheryakovYA</cp:lastModifiedBy>
  <cp:revision>2</cp:revision>
  <cp:lastPrinted>2024-03-14T07:40:00Z</cp:lastPrinted>
  <dcterms:created xsi:type="dcterms:W3CDTF">2024-03-20T06:06:00Z</dcterms:created>
  <dcterms:modified xsi:type="dcterms:W3CDTF">2024-03-20T06:06:00Z</dcterms:modified>
  <dc:language>ru-RU</dc:language>
</cp:coreProperties>
</file>